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2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FC19DC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FC19DC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78E3013B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(Dz. U. poz. 2019 z </w:t>
      </w:r>
      <w:proofErr w:type="spellStart"/>
      <w:r w:rsidR="009B6F7E" w:rsidRPr="00FC19DC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FC19DC">
        <w:rPr>
          <w:rFonts w:asciiTheme="minorHAnsi" w:hAnsiTheme="minorHAnsi" w:cs="Calibri Light"/>
          <w:b/>
          <w:lang w:eastAsia="pl-PL"/>
        </w:rPr>
        <w:t xml:space="preserve">. zm.) 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42C22705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6022E4" w:rsidRPr="006022E4">
        <w:rPr>
          <w:rFonts w:asciiTheme="minorHAnsi" w:hAnsiTheme="minorHAnsi" w:cs="Calibri Light"/>
          <w:b/>
          <w:bCs/>
          <w:sz w:val="22"/>
          <w:szCs w:val="22"/>
        </w:rPr>
        <w:t>Modernizacja infrastruktury sportowej przy Szkole Podstawowej w Lipiu</w:t>
      </w:r>
      <w:r w:rsidR="00FE46CB" w:rsidRPr="00FC19DC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FC19DC">
        <w:rPr>
          <w:rFonts w:asciiTheme="minorHAnsi" w:hAnsiTheme="minorHAnsi" w:cs="Calibri Light"/>
          <w:b/>
          <w:sz w:val="22"/>
          <w:szCs w:val="22"/>
        </w:rPr>
        <w:t>(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postępowanie nr</w:t>
      </w:r>
      <w:r w:rsidRPr="00FC19DC">
        <w:rPr>
          <w:rFonts w:asciiTheme="minorHAnsi" w:hAnsiTheme="minorHAnsi" w:cs="Calibri Light"/>
          <w:b/>
          <w:sz w:val="22"/>
          <w:szCs w:val="22"/>
        </w:rPr>
        <w:t xml:space="preserve">: 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IZP.271.</w:t>
      </w:r>
      <w:r w:rsidR="006022E4">
        <w:rPr>
          <w:rFonts w:asciiTheme="minorHAnsi" w:hAnsiTheme="minorHAnsi" w:cs="Calibri Light"/>
          <w:b/>
          <w:sz w:val="22"/>
          <w:szCs w:val="22"/>
        </w:rPr>
        <w:t>15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.2021</w:t>
      </w:r>
      <w:r w:rsidRPr="00FC19DC">
        <w:rPr>
          <w:rFonts w:asciiTheme="minorHAnsi" w:hAnsiTheme="minorHAnsi" w:cs="Calibri Light"/>
          <w:b/>
          <w:sz w:val="22"/>
          <w:szCs w:val="22"/>
        </w:rPr>
        <w:t>)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3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2BAD5B2A" w14:textId="2D5FCC73" w:rsidR="008D7791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</w:p>
    <w:p w14:paraId="4F332541" w14:textId="77777777" w:rsidR="006022E4" w:rsidRPr="00FC19DC" w:rsidRDefault="006022E4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</w:t>
      </w:r>
      <w:proofErr w:type="spellStart"/>
      <w:r w:rsidRPr="00FC19DC">
        <w:rPr>
          <w:rFonts w:asciiTheme="minorHAnsi" w:hAnsiTheme="minorHAnsi" w:cs="Calibri Light"/>
          <w:sz w:val="22"/>
          <w:szCs w:val="22"/>
          <w:lang w:eastAsia="pl-PL"/>
        </w:rPr>
        <w:t>ych</w:t>
      </w:r>
      <w:proofErr w:type="spellEnd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6022E4">
      <w:headerReference w:type="default" r:id="rId8"/>
      <w:footerReference w:type="default" r:id="rId9"/>
      <w:pgSz w:w="11906" w:h="16838"/>
      <w:pgMar w:top="1417" w:right="1417" w:bottom="993" w:left="1417" w:header="851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6022E4" w14:paraId="1F522EF5" w14:textId="77777777" w:rsidTr="006022E4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761B870" w14:textId="77777777" w:rsidR="006022E4" w:rsidRDefault="006022E4" w:rsidP="006022E4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IZP.271.15.2021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AED5E95" w14:textId="77777777" w:rsidR="006022E4" w:rsidRDefault="006022E4" w:rsidP="006022E4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4" w:name="_Hlk82957209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Modernizacja infrastruktury sportowej przy Szkole Podstawowej w Lipiu</w:t>
          </w:r>
          <w:bookmarkEnd w:id="54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93E330D" w14:textId="77777777" w:rsidR="00E42347" w:rsidRPr="006022E4" w:rsidRDefault="00E42347" w:rsidP="00602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2E4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59</cp:revision>
  <cp:lastPrinted>2017-09-08T16:17:00Z</cp:lastPrinted>
  <dcterms:created xsi:type="dcterms:W3CDTF">2018-04-15T07:03:00Z</dcterms:created>
  <dcterms:modified xsi:type="dcterms:W3CDTF">2021-09-19T13:48:00Z</dcterms:modified>
</cp:coreProperties>
</file>